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9006"/>
      </w:tblGrid>
      <w:tr w:rsidR="009468F8">
        <w:tc>
          <w:tcPr>
            <w:tcW w:w="1200" w:type="dxa"/>
            <w:tcBorders>
              <w:top w:val="none" w:sz="0" w:space="0" w:color="FFFFFF"/>
              <w:left w:val="none" w:sz="0" w:space="0" w:color="FFFFFF"/>
              <w:bottom w:val="none" w:sz="0" w:space="0" w:color="FFFFFF"/>
              <w:right w:val="none" w:sz="0" w:space="0" w:color="FFFFFF"/>
            </w:tcBorders>
            <w:shd w:val="clear" w:color="auto" w:fill="BA4A00"/>
            <w:tcMar>
              <w:top w:w="160" w:type="dxa"/>
              <w:left w:w="100" w:type="dxa"/>
              <w:bottom w:w="160" w:type="dxa"/>
              <w:right w:w="100" w:type="dxa"/>
            </w:tcMar>
            <w:vAlign w:val="center"/>
          </w:tcPr>
          <w:p w:rsidR="009468F8" w:rsidRDefault="00DB23C7">
            <w:pPr>
              <w:jc w:val="center"/>
            </w:pPr>
            <w:r>
              <w:rPr>
                <w:b/>
                <w:bCs/>
                <w:color w:val="FFFFFF"/>
                <w:sz w:val="56"/>
                <w:szCs w:val="56"/>
              </w:rPr>
              <w:t>4</w:t>
            </w:r>
          </w:p>
        </w:tc>
        <w:tc>
          <w:tcPr>
            <w:tcW w:w="9006" w:type="dxa"/>
            <w:tcBorders>
              <w:top w:val="none" w:sz="0" w:space="0" w:color="FFFFFF"/>
              <w:left w:val="none" w:sz="0" w:space="0" w:color="FFFFFF"/>
              <w:bottom w:val="none" w:sz="0" w:space="0" w:color="FFFFFF"/>
              <w:right w:val="none" w:sz="0" w:space="0" w:color="FFFFFF"/>
            </w:tcBorders>
            <w:shd w:val="clear" w:color="auto" w:fill="FDEBD0"/>
            <w:tcMar>
              <w:top w:w="140" w:type="dxa"/>
              <w:left w:w="240" w:type="dxa"/>
              <w:bottom w:w="140" w:type="dxa"/>
              <w:right w:w="200" w:type="dxa"/>
            </w:tcMar>
            <w:vAlign w:val="center"/>
          </w:tcPr>
          <w:p w:rsidR="009468F8" w:rsidRDefault="002A4821">
            <w:pPr>
              <w:spacing w:before="60" w:after="60"/>
            </w:pPr>
            <w:r>
              <w:rPr>
                <w:b/>
                <w:bCs/>
                <w:color w:val="BA4A00"/>
                <w:sz w:val="36"/>
                <w:szCs w:val="36"/>
              </w:rPr>
              <w:t>LES BATARDEAUX</w:t>
            </w:r>
          </w:p>
          <w:p w:rsidR="009468F8" w:rsidRDefault="002A4821">
            <w:pPr>
              <w:spacing w:before="60" w:after="60"/>
            </w:pPr>
            <w:r>
              <w:rPr>
                <w:i/>
                <w:iCs/>
                <w:color w:val="555555"/>
                <w:sz w:val="20"/>
                <w:szCs w:val="20"/>
              </w:rPr>
              <w:t>Rue du Jeu de Paume / Centre-ville</w:t>
            </w:r>
          </w:p>
        </w:tc>
      </w:tr>
    </w:tbl>
    <w:p w:rsidR="009468F8" w:rsidRDefault="009468F8">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9468F8">
        <w:tc>
          <w:tcPr>
            <w:tcW w:w="10206" w:type="dxa"/>
            <w:tcBorders>
              <w:top w:val="single" w:sz="6" w:space="0" w:color="BA4A00"/>
              <w:left w:val="single" w:sz="6" w:space="0" w:color="BA4A00"/>
              <w:bottom w:val="single" w:sz="6" w:space="0" w:color="BA4A00"/>
              <w:right w:val="single" w:sz="6" w:space="0" w:color="BA4A00"/>
            </w:tcBorders>
            <w:shd w:val="clear" w:color="auto" w:fill="FDEBD0"/>
            <w:tcMar>
              <w:top w:w="140" w:type="dxa"/>
              <w:left w:w="220" w:type="dxa"/>
              <w:bottom w:w="140" w:type="dxa"/>
              <w:right w:w="220" w:type="dxa"/>
            </w:tcMar>
          </w:tcPr>
          <w:p w:rsidR="009468F8" w:rsidRDefault="002A4821">
            <w:pPr>
              <w:spacing w:before="60" w:after="60"/>
            </w:pPr>
            <w:r>
              <w:rPr>
                <w:b/>
                <w:bCs/>
                <w:color w:val="BA4A00"/>
                <w:sz w:val="23"/>
                <w:szCs w:val="23"/>
              </w:rPr>
              <w:t xml:space="preserve">Qu'est-ce qu'un batardeau ?  </w:t>
            </w:r>
          </w:p>
          <w:p w:rsidR="009468F8" w:rsidRDefault="002A4821">
            <w:pPr>
              <w:spacing w:before="60" w:after="60"/>
            </w:pPr>
            <w:r>
              <w:rPr>
                <w:color w:val="555555"/>
              </w:rPr>
              <w:t>Un batardeau est un barrage temporaire destiné à empêcher l'eau de rentrer dans un bâtiment lors d'une inondation. De chaque côté de la porte, deux structures en métal (des rails) permettent de faire coulisser une ou plusieurs planches étanches. C'est un système rapide à installer et très efficace.</w:t>
            </w:r>
          </w:p>
        </w:tc>
      </w:tr>
    </w:tbl>
    <w:p w:rsidR="009468F8" w:rsidRDefault="009468F8">
      <w:pPr>
        <w:spacing w:before="80" w:after="60"/>
      </w:pPr>
    </w:p>
    <w:p w:rsidR="009468F8" w:rsidRDefault="002A4821">
      <w:pPr>
        <w:spacing w:before="60" w:after="60"/>
      </w:pPr>
      <w:r>
        <w:rPr>
          <w:b/>
          <w:bCs/>
          <w:color w:val="BA4A00"/>
        </w:rPr>
        <w:t xml:space="preserve"> Deux types de batardeaux à Pont-Saint-Esprit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998"/>
        <w:gridCol w:w="5208"/>
      </w:tblGrid>
      <w:tr w:rsidR="009468F8" w:rsidTr="002A4821">
        <w:tc>
          <w:tcPr>
            <w:tcW w:w="4998" w:type="dxa"/>
            <w:tcBorders>
              <w:top w:val="single" w:sz="4" w:space="0" w:color="BA4A00"/>
              <w:left w:val="single" w:sz="4" w:space="0" w:color="BA4A00"/>
              <w:bottom w:val="single" w:sz="4" w:space="0" w:color="BA4A00"/>
              <w:right w:val="single" w:sz="4" w:space="0" w:color="BA4A00"/>
            </w:tcBorders>
            <w:tcMar>
              <w:top w:w="60" w:type="dxa"/>
              <w:left w:w="60" w:type="dxa"/>
              <w:bottom w:w="0" w:type="dxa"/>
              <w:right w:w="60" w:type="dxa"/>
            </w:tcMar>
          </w:tcPr>
          <w:p w:rsidR="009468F8" w:rsidRDefault="002A4821">
            <w:pPr>
              <w:jc w:val="center"/>
            </w:pPr>
            <w:r>
              <w:rPr>
                <w:noProof/>
              </w:rPr>
              <w:drawing>
                <wp:inline distT="0" distB="0" distL="0" distR="0">
                  <wp:extent cx="2194560" cy="2270235"/>
                  <wp:effectExtent l="0" t="0" r="0" b="0"/>
                  <wp:docPr id="1"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205409" cy="2281459"/>
                          </a:xfrm>
                          <a:prstGeom prst="rect">
                            <a:avLst/>
                          </a:prstGeom>
                        </pic:spPr>
                      </pic:pic>
                    </a:graphicData>
                  </a:graphic>
                </wp:inline>
              </w:drawing>
            </w:r>
          </w:p>
        </w:tc>
        <w:tc>
          <w:tcPr>
            <w:tcW w:w="5208" w:type="dxa"/>
            <w:tcBorders>
              <w:top w:val="single" w:sz="4" w:space="0" w:color="2980B9"/>
              <w:left w:val="single" w:sz="4" w:space="0" w:color="2980B9"/>
              <w:bottom w:val="single" w:sz="4" w:space="0" w:color="2980B9"/>
              <w:right w:val="single" w:sz="4" w:space="0" w:color="2980B9"/>
            </w:tcBorders>
            <w:tcMar>
              <w:top w:w="60" w:type="dxa"/>
              <w:left w:w="60" w:type="dxa"/>
              <w:bottom w:w="0" w:type="dxa"/>
              <w:right w:w="60" w:type="dxa"/>
            </w:tcMar>
          </w:tcPr>
          <w:p w:rsidR="009468F8" w:rsidRDefault="002A4821">
            <w:pPr>
              <w:jc w:val="center"/>
            </w:pPr>
            <w:r>
              <w:rPr>
                <w:noProof/>
              </w:rPr>
              <w:drawing>
                <wp:inline distT="0" distB="0" distL="0" distR="0">
                  <wp:extent cx="2857500" cy="2232660"/>
                  <wp:effectExtent l="0" t="0" r="0" b="0"/>
                  <wp:docPr id="2"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rotWithShape="1">
                          <a:blip r:embed="rId6"/>
                          <a:srcRect b="21866"/>
                          <a:stretch/>
                        </pic:blipFill>
                        <pic:spPr bwMode="auto">
                          <a:xfrm>
                            <a:off x="0" y="0"/>
                            <a:ext cx="2857500" cy="2232660"/>
                          </a:xfrm>
                          <a:prstGeom prst="rect">
                            <a:avLst/>
                          </a:prstGeom>
                          <a:ln>
                            <a:noFill/>
                          </a:ln>
                          <a:extLst>
                            <a:ext uri="{53640926-AAD7-44D8-BBD7-CCE9431645EC}">
                              <a14:shadowObscured xmlns:a14="http://schemas.microsoft.com/office/drawing/2010/main"/>
                            </a:ext>
                          </a:extLst>
                        </pic:spPr>
                      </pic:pic>
                    </a:graphicData>
                  </a:graphic>
                </wp:inline>
              </w:drawing>
            </w:r>
          </w:p>
        </w:tc>
      </w:tr>
      <w:tr w:rsidR="009468F8" w:rsidTr="002A4821">
        <w:tc>
          <w:tcPr>
            <w:tcW w:w="4998" w:type="dxa"/>
            <w:tcBorders>
              <w:top w:val="single" w:sz="4" w:space="0" w:color="BA4A00"/>
              <w:left w:val="single" w:sz="4" w:space="0" w:color="BA4A00"/>
              <w:bottom w:val="single" w:sz="4" w:space="0" w:color="BA4A00"/>
              <w:right w:val="single" w:sz="4" w:space="0" w:color="BA4A00"/>
            </w:tcBorders>
            <w:shd w:val="clear" w:color="auto" w:fill="BA4A00"/>
            <w:tcMar>
              <w:top w:w="80" w:type="dxa"/>
              <w:left w:w="120" w:type="dxa"/>
              <w:bottom w:w="80" w:type="dxa"/>
              <w:right w:w="120" w:type="dxa"/>
            </w:tcMar>
          </w:tcPr>
          <w:p w:rsidR="009468F8" w:rsidRDefault="000004F5">
            <w:pPr>
              <w:spacing w:before="60" w:after="60"/>
            </w:pPr>
            <w:r>
              <w:rPr>
                <w:b/>
                <w:bCs/>
                <w:color w:val="FFFFFF"/>
                <w:sz w:val="19"/>
                <w:szCs w:val="19"/>
              </w:rPr>
              <w:t>Photo 1 :</w:t>
            </w:r>
            <w:r w:rsidR="002A4821">
              <w:rPr>
                <w:b/>
                <w:bCs/>
                <w:color w:val="FFFFFF"/>
                <w:sz w:val="19"/>
                <w:szCs w:val="19"/>
              </w:rPr>
              <w:t xml:space="preserve"> Batardeau bois — </w:t>
            </w:r>
            <w:r w:rsidR="002A4821">
              <w:rPr>
                <w:color w:val="FFFFFF"/>
                <w:sz w:val="19"/>
                <w:szCs w:val="19"/>
              </w:rPr>
              <w:t>Rails métalliques de chaque côté d'une porte en bois. Les planches s'insèrent dans les rainures.</w:t>
            </w:r>
            <w:r w:rsidR="00F53540">
              <w:rPr>
                <w:color w:val="FFFFFF"/>
                <w:sz w:val="19"/>
                <w:szCs w:val="19"/>
              </w:rPr>
              <w:t xml:space="preserve"> (photo élève)</w:t>
            </w:r>
          </w:p>
        </w:tc>
        <w:tc>
          <w:tcPr>
            <w:tcW w:w="5208" w:type="dxa"/>
            <w:tcBorders>
              <w:top w:val="single" w:sz="4" w:space="0" w:color="2980B9"/>
              <w:left w:val="single" w:sz="4" w:space="0" w:color="2980B9"/>
              <w:bottom w:val="single" w:sz="4" w:space="0" w:color="2980B9"/>
              <w:right w:val="single" w:sz="4" w:space="0" w:color="2980B9"/>
            </w:tcBorders>
            <w:shd w:val="clear" w:color="auto" w:fill="2980B9"/>
            <w:tcMar>
              <w:top w:w="80" w:type="dxa"/>
              <w:left w:w="120" w:type="dxa"/>
              <w:bottom w:w="80" w:type="dxa"/>
              <w:right w:w="120" w:type="dxa"/>
            </w:tcMar>
          </w:tcPr>
          <w:p w:rsidR="009468F8" w:rsidRDefault="000004F5">
            <w:pPr>
              <w:spacing w:before="60" w:after="60"/>
            </w:pPr>
            <w:r>
              <w:rPr>
                <w:b/>
                <w:bCs/>
                <w:color w:val="FFFFFF"/>
                <w:sz w:val="19"/>
                <w:szCs w:val="19"/>
              </w:rPr>
              <w:t xml:space="preserve">Photo 2 : </w:t>
            </w:r>
            <w:r w:rsidR="002A4821">
              <w:rPr>
                <w:b/>
                <w:bCs/>
                <w:color w:val="FFFFFF"/>
                <w:sz w:val="19"/>
                <w:szCs w:val="19"/>
              </w:rPr>
              <w:t xml:space="preserve">Batardeau aluminium — </w:t>
            </w:r>
            <w:r w:rsidR="002A4821">
              <w:rPr>
                <w:color w:val="FFFFFF"/>
                <w:sz w:val="19"/>
                <w:szCs w:val="19"/>
              </w:rPr>
              <w:t>Planches d'aluminium empilables, système plus moderne et plus étanche.</w:t>
            </w:r>
            <w:r w:rsidR="00F53540">
              <w:rPr>
                <w:color w:val="FFFFFF"/>
                <w:sz w:val="19"/>
                <w:szCs w:val="19"/>
              </w:rPr>
              <w:t xml:space="preserve"> (photo élève)</w:t>
            </w:r>
            <w:bookmarkStart w:id="0" w:name="_GoBack"/>
            <w:bookmarkEnd w:id="0"/>
          </w:p>
        </w:tc>
      </w:tr>
    </w:tbl>
    <w:p w:rsidR="009468F8" w:rsidRDefault="009468F8">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9468F8">
        <w:tc>
          <w:tcPr>
            <w:tcW w:w="10206" w:type="dxa"/>
            <w:tcBorders>
              <w:top w:val="single" w:sz="6" w:space="0" w:color="BA4A00"/>
              <w:left w:val="single" w:sz="6" w:space="0" w:color="BA4A00"/>
              <w:bottom w:val="single" w:sz="6" w:space="0" w:color="BA4A00"/>
              <w:right w:val="single" w:sz="6" w:space="0" w:color="BA4A00"/>
            </w:tcBorders>
            <w:shd w:val="clear" w:color="auto" w:fill="FEF9E7"/>
            <w:tcMar>
              <w:top w:w="140" w:type="dxa"/>
              <w:left w:w="220" w:type="dxa"/>
              <w:bottom w:w="140" w:type="dxa"/>
              <w:right w:w="220" w:type="dxa"/>
            </w:tcMar>
          </w:tcPr>
          <w:p w:rsidR="009468F8" w:rsidRDefault="002A4821" w:rsidP="000004F5">
            <w:pPr>
              <w:spacing w:before="60" w:after="60"/>
            </w:pPr>
            <w:r>
              <w:rPr>
                <w:b/>
                <w:bCs/>
                <w:color w:val="BA4A00"/>
              </w:rPr>
              <w:t>Le savais-tu ?</w:t>
            </w:r>
          </w:p>
          <w:p w:rsidR="009468F8" w:rsidRDefault="002A4821">
            <w:pPr>
              <w:spacing w:before="60" w:after="60"/>
              <w:rPr>
                <w:color w:val="555555"/>
                <w:sz w:val="21"/>
                <w:szCs w:val="21"/>
              </w:rPr>
            </w:pPr>
            <w:r>
              <w:rPr>
                <w:color w:val="555555"/>
                <w:sz w:val="21"/>
                <w:szCs w:val="21"/>
              </w:rPr>
              <w:t>Les batardeaux font partie des mesures individuelles de protection contre les inondations. Après les crues de 2003, la ville de Pont-Saint-Esprit a encouragé les riverains à en équiper leurs habitations. En quelques minutes, une porte peut résister à plus de 50 cm d'eau.</w:t>
            </w:r>
          </w:p>
          <w:p w:rsidR="009A0EDB" w:rsidRDefault="009A0EDB">
            <w:pPr>
              <w:spacing w:before="60" w:after="60"/>
              <w:rPr>
                <w:color w:val="555555"/>
                <w:sz w:val="21"/>
                <w:szCs w:val="21"/>
              </w:rPr>
            </w:pPr>
          </w:p>
          <w:p w:rsidR="009A0EDB" w:rsidRDefault="009A0EDB">
            <w:pPr>
              <w:spacing w:before="60" w:after="60"/>
            </w:pPr>
            <w:r w:rsidRPr="009A0EDB">
              <w:rPr>
                <w:rStyle w:val="Accentuation"/>
                <w:b/>
                <w:color w:val="C00000"/>
              </w:rPr>
              <w:sym w:font="Webdings" w:char="F059"/>
            </w:r>
            <w:r w:rsidRPr="009A0EDB">
              <w:rPr>
                <w:rStyle w:val="Accentuation"/>
                <w:b/>
                <w:color w:val="C00000"/>
              </w:rPr>
              <w:t xml:space="preserve"> One </w:t>
            </w:r>
            <w:proofErr w:type="spellStart"/>
            <w:r w:rsidRPr="009A0EDB">
              <w:rPr>
                <w:rStyle w:val="Accentuation"/>
                <w:b/>
                <w:color w:val="C00000"/>
              </w:rPr>
              <w:t>Health</w:t>
            </w:r>
            <w:proofErr w:type="spellEnd"/>
            <w:r w:rsidRPr="009A0EDB">
              <w:rPr>
                <w:rStyle w:val="Accentuation"/>
                <w:b/>
                <w:color w:val="C00000"/>
              </w:rPr>
              <w:t xml:space="preserve"> :</w:t>
            </w:r>
            <w:r w:rsidRPr="009A0EDB">
              <w:rPr>
                <w:color w:val="C00000"/>
              </w:rPr>
              <w:t xml:space="preserve"> </w:t>
            </w:r>
            <w:r>
              <w:t xml:space="preserve">Les inondations ne détruisent pas seulement les maisons — elles contaminent les sols agricoles, polluent les nappes phréatiques, favorisent la prolifération de moisissures et de bactéries pathogènes dans les bâtiments. Protéger les bâtiments, c'est aussi protéger la santé des habitants. </w:t>
            </w:r>
            <w:r w:rsidRPr="009A0EDB">
              <w:rPr>
                <w:color w:val="C00000"/>
              </w:rPr>
              <w:t xml:space="preserve">→ </w:t>
            </w:r>
            <w:r w:rsidRPr="009A0EDB">
              <w:rPr>
                <w:rStyle w:val="lev"/>
                <w:color w:val="C00000"/>
              </w:rPr>
              <w:t>Question élève :</w:t>
            </w:r>
            <w:r w:rsidRPr="009A0EDB">
              <w:rPr>
                <w:color w:val="C00000"/>
              </w:rPr>
              <w:t xml:space="preserve"> </w:t>
            </w:r>
            <w:r w:rsidRPr="009A0EDB">
              <w:rPr>
                <w:rStyle w:val="Accentuation"/>
                <w:color w:val="C00000"/>
              </w:rPr>
              <w:t>" Quel est le lien entre la santé du fleuve et celle des habitants ?"</w:t>
            </w:r>
          </w:p>
          <w:p w:rsidR="009468F8" w:rsidRDefault="009468F8">
            <w:pPr>
              <w:spacing w:before="20" w:after="20"/>
            </w:pPr>
          </w:p>
          <w:p w:rsidR="009468F8" w:rsidRDefault="002A4821">
            <w:pPr>
              <w:spacing w:before="60" w:after="60"/>
            </w:pPr>
            <w:r>
              <w:rPr>
                <w:b/>
                <w:bCs/>
                <w:color w:val="922B21"/>
                <w:sz w:val="21"/>
                <w:szCs w:val="21"/>
              </w:rPr>
              <w:t>⚠</w:t>
            </w:r>
            <w:r w:rsidR="000004F5">
              <w:rPr>
                <w:b/>
                <w:bCs/>
                <w:color w:val="922B21"/>
                <w:sz w:val="21"/>
                <w:szCs w:val="21"/>
              </w:rPr>
              <w:t xml:space="preserve"> </w:t>
            </w:r>
            <w:r>
              <w:rPr>
                <w:b/>
                <w:bCs/>
                <w:color w:val="922B21"/>
                <w:sz w:val="21"/>
                <w:szCs w:val="21"/>
              </w:rPr>
              <w:t xml:space="preserve">Réchauffement climatique : </w:t>
            </w:r>
            <w:r>
              <w:rPr>
                <w:color w:val="555555"/>
                <w:sz w:val="21"/>
                <w:szCs w:val="21"/>
              </w:rPr>
              <w:t>avec des crues plus fréquentes, les batardeaux sont de moins en moins une exception et de plus en plus une nécessité permanente.</w:t>
            </w:r>
          </w:p>
        </w:tc>
      </w:tr>
    </w:tbl>
    <w:p w:rsidR="009468F8" w:rsidRDefault="009468F8">
      <w:pPr>
        <w:spacing w:before="6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9468F8">
        <w:tc>
          <w:tcPr>
            <w:tcW w:w="10206" w:type="dxa"/>
            <w:tcBorders>
              <w:top w:val="single" w:sz="6" w:space="0" w:color="BA4A00"/>
              <w:left w:val="single" w:sz="6" w:space="0" w:color="BA4A00"/>
              <w:bottom w:val="single" w:sz="6" w:space="0" w:color="BA4A00"/>
              <w:right w:val="single" w:sz="6" w:space="0" w:color="BA4A00"/>
            </w:tcBorders>
            <w:shd w:val="clear" w:color="auto" w:fill="FDEBD0"/>
            <w:tcMar>
              <w:top w:w="140" w:type="dxa"/>
              <w:left w:w="220" w:type="dxa"/>
              <w:bottom w:w="140" w:type="dxa"/>
              <w:right w:w="220" w:type="dxa"/>
            </w:tcMar>
          </w:tcPr>
          <w:p w:rsidR="009468F8" w:rsidRDefault="000004F5" w:rsidP="000004F5">
            <w:pPr>
              <w:spacing w:before="60" w:after="60"/>
            </w:pPr>
            <w:r>
              <w:rPr>
                <w:b/>
                <w:bCs/>
                <w:color w:val="BA4A00"/>
                <w:sz w:val="26"/>
                <w:szCs w:val="26"/>
              </w:rPr>
              <w:t xml:space="preserve">VOTRE MISSION : </w:t>
            </w:r>
          </w:p>
        </w:tc>
      </w:tr>
    </w:tbl>
    <w:p w:rsidR="009468F8" w:rsidRDefault="009468F8">
      <w:pPr>
        <w:spacing w:before="20" w:after="10"/>
      </w:pPr>
    </w:p>
    <w:p w:rsidR="009468F8" w:rsidRDefault="000004F5" w:rsidP="002A4821">
      <w:pPr>
        <w:spacing w:before="60" w:after="20"/>
      </w:pPr>
      <w:r>
        <w:rPr>
          <w:b/>
          <w:bCs/>
          <w:color w:val="1A5276"/>
          <w:sz w:val="21"/>
          <w:szCs w:val="21"/>
        </w:rPr>
        <w:t xml:space="preserve">1 : Repère les rails métalliques de chaque côté de la porte du garage (Photo 1). Si les planches de protection que nous pouvons mettre dans les rails font 15cm de hauteur : calcule le nombre de planches que nous pouvons insérer dans ces rails. </w:t>
      </w:r>
    </w:p>
    <w:sectPr w:rsidR="009468F8">
      <w:pgSz w:w="11906" w:h="16838"/>
      <w:pgMar w:top="850" w:right="850" w:bottom="850" w:left="85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6B1D"/>
    <w:multiLevelType w:val="hybridMultilevel"/>
    <w:tmpl w:val="0E367448"/>
    <w:lvl w:ilvl="0" w:tplc="8C7E4CB4">
      <w:start w:val="1"/>
      <w:numFmt w:val="bullet"/>
      <w:lvlText w:val="●"/>
      <w:lvlJc w:val="left"/>
      <w:pPr>
        <w:ind w:left="720" w:hanging="360"/>
      </w:pPr>
    </w:lvl>
    <w:lvl w:ilvl="1" w:tplc="18FAB5B4">
      <w:start w:val="1"/>
      <w:numFmt w:val="bullet"/>
      <w:lvlText w:val="○"/>
      <w:lvlJc w:val="left"/>
      <w:pPr>
        <w:ind w:left="1440" w:hanging="360"/>
      </w:pPr>
    </w:lvl>
    <w:lvl w:ilvl="2" w:tplc="29F4FAA6">
      <w:start w:val="1"/>
      <w:numFmt w:val="bullet"/>
      <w:lvlText w:val="■"/>
      <w:lvlJc w:val="left"/>
      <w:pPr>
        <w:ind w:left="2160" w:hanging="360"/>
      </w:pPr>
    </w:lvl>
    <w:lvl w:ilvl="3" w:tplc="499EBEAC">
      <w:start w:val="1"/>
      <w:numFmt w:val="bullet"/>
      <w:lvlText w:val="●"/>
      <w:lvlJc w:val="left"/>
      <w:pPr>
        <w:ind w:left="2880" w:hanging="360"/>
      </w:pPr>
    </w:lvl>
    <w:lvl w:ilvl="4" w:tplc="4E8014E0">
      <w:start w:val="1"/>
      <w:numFmt w:val="bullet"/>
      <w:lvlText w:val="○"/>
      <w:lvlJc w:val="left"/>
      <w:pPr>
        <w:ind w:left="3600" w:hanging="360"/>
      </w:pPr>
    </w:lvl>
    <w:lvl w:ilvl="5" w:tplc="41FEF75C">
      <w:start w:val="1"/>
      <w:numFmt w:val="bullet"/>
      <w:lvlText w:val="■"/>
      <w:lvlJc w:val="left"/>
      <w:pPr>
        <w:ind w:left="4320" w:hanging="360"/>
      </w:pPr>
    </w:lvl>
    <w:lvl w:ilvl="6" w:tplc="30E4EC16">
      <w:start w:val="1"/>
      <w:numFmt w:val="bullet"/>
      <w:lvlText w:val="●"/>
      <w:lvlJc w:val="left"/>
      <w:pPr>
        <w:ind w:left="5040" w:hanging="360"/>
      </w:pPr>
    </w:lvl>
    <w:lvl w:ilvl="7" w:tplc="B6B84DB6">
      <w:start w:val="1"/>
      <w:numFmt w:val="bullet"/>
      <w:lvlText w:val="●"/>
      <w:lvlJc w:val="left"/>
      <w:pPr>
        <w:ind w:left="5760" w:hanging="360"/>
      </w:pPr>
    </w:lvl>
    <w:lvl w:ilvl="8" w:tplc="A0185AAC">
      <w:start w:val="1"/>
      <w:numFmt w:val="bullet"/>
      <w:lvlText w:val="●"/>
      <w:lvlJc w:val="left"/>
      <w:pPr>
        <w:ind w:left="6480" w:hanging="360"/>
      </w:pPr>
    </w:lvl>
  </w:abstractNum>
  <w:abstractNum w:abstractNumId="1" w15:restartNumberingAfterBreak="0">
    <w:nsid w:val="7D866428"/>
    <w:multiLevelType w:val="hybridMultilevel"/>
    <w:tmpl w:val="1B44569A"/>
    <w:lvl w:ilvl="0" w:tplc="DB284170">
      <w:start w:val="1"/>
      <w:numFmt w:val="decimal"/>
      <w:lvlText w:val="%1."/>
      <w:lvlJc w:val="left"/>
      <w:pPr>
        <w:ind w:left="600" w:hanging="300"/>
      </w:pPr>
    </w:lvl>
    <w:lvl w:ilvl="1" w:tplc="BA0E5C44">
      <w:numFmt w:val="decimal"/>
      <w:lvlText w:val=""/>
      <w:lvlJc w:val="left"/>
    </w:lvl>
    <w:lvl w:ilvl="2" w:tplc="131C98FE">
      <w:numFmt w:val="decimal"/>
      <w:lvlText w:val=""/>
      <w:lvlJc w:val="left"/>
    </w:lvl>
    <w:lvl w:ilvl="3" w:tplc="F4480B56">
      <w:numFmt w:val="decimal"/>
      <w:lvlText w:val=""/>
      <w:lvlJc w:val="left"/>
    </w:lvl>
    <w:lvl w:ilvl="4" w:tplc="4448D824">
      <w:numFmt w:val="decimal"/>
      <w:lvlText w:val=""/>
      <w:lvlJc w:val="left"/>
    </w:lvl>
    <w:lvl w:ilvl="5" w:tplc="7784848E">
      <w:numFmt w:val="decimal"/>
      <w:lvlText w:val=""/>
      <w:lvlJc w:val="left"/>
    </w:lvl>
    <w:lvl w:ilvl="6" w:tplc="CE449D94">
      <w:numFmt w:val="decimal"/>
      <w:lvlText w:val=""/>
      <w:lvlJc w:val="left"/>
    </w:lvl>
    <w:lvl w:ilvl="7" w:tplc="A7A85220">
      <w:numFmt w:val="decimal"/>
      <w:lvlText w:val=""/>
      <w:lvlJc w:val="left"/>
    </w:lvl>
    <w:lvl w:ilvl="8" w:tplc="1F9E577A">
      <w:numFmt w:val="decimal"/>
      <w:lvlText w:val=""/>
      <w:lvlJc w:val="left"/>
    </w:lvl>
  </w:abstractNum>
  <w:abstractNum w:abstractNumId="2" w15:restartNumberingAfterBreak="0">
    <w:nsid w:val="7F8A2CE2"/>
    <w:multiLevelType w:val="hybridMultilevel"/>
    <w:tmpl w:val="1BF4D5DC"/>
    <w:lvl w:ilvl="0" w:tplc="D972AC24">
      <w:start w:val="1"/>
      <w:numFmt w:val="bullet"/>
      <w:lvlText w:val="•"/>
      <w:lvlJc w:val="left"/>
      <w:pPr>
        <w:ind w:left="600" w:hanging="300"/>
      </w:pPr>
    </w:lvl>
    <w:lvl w:ilvl="1" w:tplc="5B844D4E">
      <w:numFmt w:val="decimal"/>
      <w:lvlText w:val=""/>
      <w:lvlJc w:val="left"/>
    </w:lvl>
    <w:lvl w:ilvl="2" w:tplc="369EC9B2">
      <w:numFmt w:val="decimal"/>
      <w:lvlText w:val=""/>
      <w:lvlJc w:val="left"/>
    </w:lvl>
    <w:lvl w:ilvl="3" w:tplc="630C2308">
      <w:numFmt w:val="decimal"/>
      <w:lvlText w:val=""/>
      <w:lvlJc w:val="left"/>
    </w:lvl>
    <w:lvl w:ilvl="4" w:tplc="31027CA6">
      <w:numFmt w:val="decimal"/>
      <w:lvlText w:val=""/>
      <w:lvlJc w:val="left"/>
    </w:lvl>
    <w:lvl w:ilvl="5" w:tplc="891A4B5E">
      <w:numFmt w:val="decimal"/>
      <w:lvlText w:val=""/>
      <w:lvlJc w:val="left"/>
    </w:lvl>
    <w:lvl w:ilvl="6" w:tplc="EB3E6948">
      <w:numFmt w:val="decimal"/>
      <w:lvlText w:val=""/>
      <w:lvlJc w:val="left"/>
    </w:lvl>
    <w:lvl w:ilvl="7" w:tplc="8236DCDC">
      <w:numFmt w:val="decimal"/>
      <w:lvlText w:val=""/>
      <w:lvlJc w:val="left"/>
    </w:lvl>
    <w:lvl w:ilvl="8" w:tplc="7E2827C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F8"/>
    <w:rsid w:val="000004F5"/>
    <w:rsid w:val="002A4821"/>
    <w:rsid w:val="009468F8"/>
    <w:rsid w:val="009A0EDB"/>
    <w:rsid w:val="00DB23C7"/>
    <w:rsid w:val="00F535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435E"/>
  <w15:docId w15:val="{BC81E16E-ED92-460C-BC70-6976944D9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ccentuation">
    <w:name w:val="Emphasis"/>
    <w:basedOn w:val="Policepardfaut"/>
    <w:uiPriority w:val="20"/>
    <w:qFormat/>
    <w:rsid w:val="009A0EDB"/>
    <w:rPr>
      <w:i/>
      <w:iCs/>
    </w:rPr>
  </w:style>
  <w:style w:type="character" w:styleId="lev">
    <w:name w:val="Strong"/>
    <w:basedOn w:val="Policepardfaut"/>
    <w:uiPriority w:val="22"/>
    <w:qFormat/>
    <w:rsid w:val="009A0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1524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Margaux Berthier</cp:lastModifiedBy>
  <cp:revision>3</cp:revision>
  <dcterms:created xsi:type="dcterms:W3CDTF">2026-03-23T15:12:00Z</dcterms:created>
  <dcterms:modified xsi:type="dcterms:W3CDTF">2026-03-23T19:41:00Z</dcterms:modified>
</cp:coreProperties>
</file>